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0" w:rsidRDefault="006A0780" w:rsidP="00EF4774">
      <w:pPr>
        <w:pStyle w:val="NoSpacing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>
        <w:rPr>
          <w:rFonts w:asciiTheme="majorHAnsi" w:hAnsiTheme="majorHAnsi"/>
          <w:b/>
          <w:color w:val="595959" w:themeColor="text1" w:themeTint="A6"/>
          <w:sz w:val="28"/>
          <w:szCs w:val="28"/>
        </w:rPr>
        <w:t>DB Summit July 20, 2014</w:t>
      </w:r>
    </w:p>
    <w:p w:rsidR="00DC245A" w:rsidRPr="006A0780" w:rsidRDefault="00EF4774" w:rsidP="00EF4774">
      <w:pPr>
        <w:pStyle w:val="NoSpacing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6A0780">
        <w:rPr>
          <w:rFonts w:asciiTheme="majorHAnsi" w:hAnsiTheme="majorHAnsi"/>
          <w:b/>
          <w:color w:val="595959" w:themeColor="text1" w:themeTint="A6"/>
          <w:sz w:val="28"/>
          <w:szCs w:val="28"/>
        </w:rPr>
        <w:t>Intensive TA</w:t>
      </w:r>
      <w:r w:rsidR="006A0780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Concurrent Session</w:t>
      </w:r>
    </w:p>
    <w:p w:rsidR="00EF4774" w:rsidRPr="006A0780" w:rsidRDefault="00EF4774" w:rsidP="00EF4774">
      <w:pPr>
        <w:pStyle w:val="NoSpacing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proofErr w:type="spellStart"/>
      <w:r w:rsidRPr="006A0780">
        <w:rPr>
          <w:rFonts w:asciiTheme="majorHAnsi" w:hAnsiTheme="majorHAnsi"/>
          <w:b/>
          <w:color w:val="595959" w:themeColor="text1" w:themeTint="A6"/>
          <w:sz w:val="28"/>
          <w:szCs w:val="28"/>
        </w:rPr>
        <w:t>Petroff</w:t>
      </w:r>
      <w:proofErr w:type="spellEnd"/>
      <w:r w:rsidRPr="006A0780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&amp; McNulty</w:t>
      </w:r>
    </w:p>
    <w:p w:rsidR="005353BB" w:rsidRDefault="005353BB" w:rsidP="00EF4774">
      <w:pPr>
        <w:pStyle w:val="NoSpacing"/>
        <w:rPr>
          <w:rFonts w:ascii="Palatino Linotype" w:hAnsi="Palatino Linotype"/>
          <w:color w:val="595959" w:themeColor="text1" w:themeTint="A6"/>
        </w:rPr>
      </w:pPr>
    </w:p>
    <w:p w:rsidR="005353BB" w:rsidRPr="005353BB" w:rsidRDefault="005353BB" w:rsidP="005353BB">
      <w:pPr>
        <w:pStyle w:val="NoSpacing"/>
        <w:rPr>
          <w:rFonts w:ascii="Palatino Linotype" w:hAnsi="Palatino Linotype"/>
          <w:b/>
          <w:color w:val="595959" w:themeColor="text1" w:themeTint="A6"/>
          <w:u w:val="single"/>
        </w:rPr>
      </w:pPr>
      <w:r w:rsidRPr="005353BB">
        <w:rPr>
          <w:rFonts w:ascii="Palatino Linotype" w:hAnsi="Palatino Linotype"/>
          <w:b/>
          <w:color w:val="595959" w:themeColor="text1" w:themeTint="A6"/>
          <w:u w:val="single"/>
        </w:rPr>
        <w:t>Opening</w:t>
      </w:r>
    </w:p>
    <w:p w:rsidR="005353BB" w:rsidRDefault="005353BB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Jerry began with talking about l</w:t>
      </w:r>
      <w:r>
        <w:rPr>
          <w:rFonts w:ascii="Palatino Linotype" w:hAnsi="Palatino Linotype"/>
          <w:color w:val="595959" w:themeColor="text1" w:themeTint="A6"/>
        </w:rPr>
        <w:t>evels of TA</w:t>
      </w:r>
      <w:r>
        <w:rPr>
          <w:rFonts w:ascii="Palatino Linotype" w:hAnsi="Palatino Linotype"/>
          <w:color w:val="595959" w:themeColor="text1" w:themeTint="A6"/>
        </w:rPr>
        <w:t xml:space="preserve">, with references to Horner and </w:t>
      </w:r>
      <w:proofErr w:type="spellStart"/>
      <w:r>
        <w:rPr>
          <w:rFonts w:ascii="Palatino Linotype" w:hAnsi="Palatino Linotype"/>
          <w:color w:val="595959" w:themeColor="text1" w:themeTint="A6"/>
        </w:rPr>
        <w:t>Fixen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and posted definitions of </w:t>
      </w:r>
      <w:r>
        <w:rPr>
          <w:rFonts w:ascii="Palatino Linotype" w:hAnsi="Palatino Linotype"/>
          <w:color w:val="595959" w:themeColor="text1" w:themeTint="A6"/>
        </w:rPr>
        <w:t>Universal, Targeted and Intensive</w:t>
      </w:r>
    </w:p>
    <w:p w:rsidR="005353BB" w:rsidRDefault="005353BB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Exercise for each of the participants</w:t>
      </w:r>
      <w:r>
        <w:rPr>
          <w:rFonts w:ascii="Palatino Linotype" w:hAnsi="Palatino Linotype"/>
          <w:color w:val="595959" w:themeColor="text1" w:themeTint="A6"/>
        </w:rPr>
        <w:t xml:space="preserve"> was to identify on a checklist, the types </w:t>
      </w:r>
      <w:proofErr w:type="gramStart"/>
      <w:r>
        <w:rPr>
          <w:rFonts w:ascii="Palatino Linotype" w:hAnsi="Palatino Linotype"/>
          <w:color w:val="595959" w:themeColor="text1" w:themeTint="A6"/>
        </w:rPr>
        <w:t xml:space="preserve">of </w:t>
      </w:r>
      <w:r>
        <w:rPr>
          <w:rFonts w:ascii="Palatino Linotype" w:hAnsi="Palatino Linotype"/>
          <w:color w:val="595959" w:themeColor="text1" w:themeTint="A6"/>
        </w:rPr>
        <w:t xml:space="preserve"> TA</w:t>
      </w:r>
      <w:proofErr w:type="gramEnd"/>
      <w:r>
        <w:rPr>
          <w:rFonts w:ascii="Palatino Linotype" w:hAnsi="Palatino Linotype"/>
          <w:color w:val="595959" w:themeColor="text1" w:themeTint="A6"/>
        </w:rPr>
        <w:t xml:space="preserve"> provided by state</w:t>
      </w:r>
      <w:r>
        <w:rPr>
          <w:rFonts w:ascii="Palatino Linotype" w:hAnsi="Palatino Linotype"/>
          <w:color w:val="595959" w:themeColor="text1" w:themeTint="A6"/>
        </w:rPr>
        <w:t>.  There were some suggestions that centered on changes to the form:</w:t>
      </w:r>
    </w:p>
    <w:p w:rsidR="005353BB" w:rsidRDefault="005353BB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 xml:space="preserve">   There should be collaborative effort to achieve </w:t>
      </w:r>
      <w:r>
        <w:rPr>
          <w:rFonts w:ascii="Palatino Linotype" w:hAnsi="Palatino Linotype"/>
          <w:color w:val="595959" w:themeColor="text1" w:themeTint="A6"/>
        </w:rPr>
        <w:t>shared understanding</w:t>
      </w:r>
      <w:r>
        <w:rPr>
          <w:rFonts w:ascii="Palatino Linotype" w:hAnsi="Palatino Linotype"/>
          <w:color w:val="595959" w:themeColor="text1" w:themeTint="A6"/>
        </w:rPr>
        <w:t xml:space="preserve"> of types of TA</w:t>
      </w:r>
    </w:p>
    <w:p w:rsidR="005353BB" w:rsidRDefault="005353BB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 xml:space="preserve">   Discussion on the differences between c</w:t>
      </w:r>
      <w:r>
        <w:rPr>
          <w:rFonts w:ascii="Palatino Linotype" w:hAnsi="Palatino Linotype"/>
          <w:color w:val="595959" w:themeColor="text1" w:themeTint="A6"/>
        </w:rPr>
        <w:t xml:space="preserve">oaching and consultation </w:t>
      </w:r>
    </w:p>
    <w:p w:rsidR="005353BB" w:rsidRDefault="005353BB" w:rsidP="00EF4774">
      <w:pPr>
        <w:pStyle w:val="NoSpacing"/>
        <w:rPr>
          <w:rFonts w:ascii="Palatino Linotype" w:hAnsi="Palatino Linotype"/>
          <w:color w:val="595959" w:themeColor="text1" w:themeTint="A6"/>
        </w:rPr>
      </w:pPr>
    </w:p>
    <w:p w:rsidR="00EF4774" w:rsidRDefault="005353BB" w:rsidP="00EF4774">
      <w:pPr>
        <w:pStyle w:val="NoSpacing"/>
        <w:rPr>
          <w:rFonts w:ascii="Palatino Linotype" w:hAnsi="Palatino Linotype"/>
          <w:b/>
          <w:color w:val="595959" w:themeColor="text1" w:themeTint="A6"/>
          <w:u w:val="single"/>
        </w:rPr>
      </w:pPr>
      <w:proofErr w:type="gramStart"/>
      <w:r w:rsidRPr="005353BB">
        <w:rPr>
          <w:rFonts w:ascii="Palatino Linotype" w:hAnsi="Palatino Linotype"/>
          <w:b/>
          <w:color w:val="595959" w:themeColor="text1" w:themeTint="A6"/>
          <w:u w:val="single"/>
        </w:rPr>
        <w:t>Challenges?</w:t>
      </w:r>
      <w:proofErr w:type="gramEnd"/>
      <w:r w:rsidRPr="005353BB">
        <w:rPr>
          <w:rFonts w:ascii="Palatino Linotype" w:hAnsi="Palatino Linotype"/>
          <w:b/>
          <w:color w:val="595959" w:themeColor="text1" w:themeTint="A6"/>
          <w:u w:val="single"/>
        </w:rPr>
        <w:t xml:space="preserve">  What are the Issues?</w:t>
      </w:r>
    </w:p>
    <w:p w:rsidR="006A0780" w:rsidRDefault="006A0780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proofErr w:type="gramStart"/>
      <w:r>
        <w:rPr>
          <w:rFonts w:ascii="Palatino Linotype" w:hAnsi="Palatino Linotype"/>
          <w:color w:val="595959" w:themeColor="text1" w:themeTint="A6"/>
        </w:rPr>
        <w:t xml:space="preserve">Difficult to meet the need for requests for </w:t>
      </w:r>
      <w:proofErr w:type="spellStart"/>
      <w:r>
        <w:rPr>
          <w:rFonts w:ascii="Palatino Linotype" w:hAnsi="Palatino Linotype"/>
          <w:color w:val="595959" w:themeColor="text1" w:themeTint="A6"/>
        </w:rPr>
        <w:t>Int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TA within a project.</w:t>
      </w:r>
      <w:proofErr w:type="gramEnd"/>
    </w:p>
    <w:p w:rsidR="005353BB" w:rsidRDefault="005353BB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proofErr w:type="gramStart"/>
      <w:r>
        <w:rPr>
          <w:rFonts w:ascii="Palatino Linotype" w:hAnsi="Palatino Linotype"/>
          <w:color w:val="595959" w:themeColor="text1" w:themeTint="A6"/>
        </w:rPr>
        <w:t>Difficulty measuring effort and effect</w:t>
      </w:r>
      <w:r w:rsidR="006A0780">
        <w:rPr>
          <w:rFonts w:ascii="Palatino Linotype" w:hAnsi="Palatino Linotype"/>
          <w:color w:val="595959" w:themeColor="text1" w:themeTint="A6"/>
        </w:rPr>
        <w:t>.</w:t>
      </w:r>
      <w:proofErr w:type="gramEnd"/>
    </w:p>
    <w:p w:rsidR="005353BB" w:rsidRDefault="005353BB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Tracking fidelity of implementation</w:t>
      </w:r>
      <w:r w:rsidR="006A0780">
        <w:rPr>
          <w:rFonts w:ascii="Palatino Linotype" w:hAnsi="Palatino Linotype"/>
          <w:color w:val="595959" w:themeColor="text1" w:themeTint="A6"/>
        </w:rPr>
        <w:t xml:space="preserve"> is always an issue.</w:t>
      </w:r>
    </w:p>
    <w:p w:rsidR="005353BB" w:rsidRDefault="005353BB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 xml:space="preserve">Is the communication of OSEP definition of </w:t>
      </w:r>
      <w:proofErr w:type="spellStart"/>
      <w:r>
        <w:rPr>
          <w:rFonts w:ascii="Palatino Linotype" w:hAnsi="Palatino Linotype"/>
          <w:color w:val="595959" w:themeColor="text1" w:themeTint="A6"/>
        </w:rPr>
        <w:t>Int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TA the same for all states</w:t>
      </w:r>
      <w:r w:rsidR="006A0780">
        <w:rPr>
          <w:rFonts w:ascii="Palatino Linotype" w:hAnsi="Palatino Linotype"/>
          <w:color w:val="595959" w:themeColor="text1" w:themeTint="A6"/>
        </w:rPr>
        <w:t>?</w:t>
      </w:r>
    </w:p>
    <w:p w:rsidR="005353BB" w:rsidRDefault="005353BB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 xml:space="preserve">Depending on where project is housed, (State </w:t>
      </w:r>
      <w:proofErr w:type="spellStart"/>
      <w:r>
        <w:rPr>
          <w:rFonts w:ascii="Palatino Linotype" w:hAnsi="Palatino Linotype"/>
          <w:color w:val="595959" w:themeColor="text1" w:themeTint="A6"/>
        </w:rPr>
        <w:t>Dept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of Ed, University, UAP, Private Institution) there are big differences represented by the particular system</w:t>
      </w:r>
      <w:r w:rsidR="006A0780">
        <w:rPr>
          <w:rFonts w:ascii="Palatino Linotype" w:hAnsi="Palatino Linotype"/>
          <w:color w:val="595959" w:themeColor="text1" w:themeTint="A6"/>
        </w:rPr>
        <w:t xml:space="preserve"> in terms of the possibility of access to schools and other places where children are educated.  </w:t>
      </w:r>
    </w:p>
    <w:p w:rsidR="005353BB" w:rsidRDefault="006A0780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 xml:space="preserve">When </w:t>
      </w:r>
      <w:proofErr w:type="spellStart"/>
      <w:r w:rsidR="005353BB">
        <w:rPr>
          <w:rFonts w:ascii="Palatino Linotype" w:hAnsi="Palatino Linotype"/>
          <w:color w:val="595959" w:themeColor="text1" w:themeTint="A6"/>
        </w:rPr>
        <w:t>Int</w:t>
      </w:r>
      <w:proofErr w:type="spellEnd"/>
      <w:r w:rsidR="005353BB">
        <w:rPr>
          <w:rFonts w:ascii="Palatino Linotype" w:hAnsi="Palatino Linotype"/>
          <w:color w:val="595959" w:themeColor="text1" w:themeTint="A6"/>
        </w:rPr>
        <w:t xml:space="preserve"> TA</w:t>
      </w:r>
      <w:r>
        <w:rPr>
          <w:rFonts w:ascii="Palatino Linotype" w:hAnsi="Palatino Linotype"/>
          <w:color w:val="595959" w:themeColor="text1" w:themeTint="A6"/>
        </w:rPr>
        <w:t xml:space="preserve"> is </w:t>
      </w:r>
      <w:r w:rsidR="005353BB">
        <w:rPr>
          <w:rFonts w:ascii="Palatino Linotype" w:hAnsi="Palatino Linotype"/>
          <w:color w:val="595959" w:themeColor="text1" w:themeTint="A6"/>
        </w:rPr>
        <w:t xml:space="preserve">anchored to a particular child and around </w:t>
      </w:r>
      <w:r>
        <w:rPr>
          <w:rFonts w:ascii="Palatino Linotype" w:hAnsi="Palatino Linotype"/>
          <w:color w:val="595959" w:themeColor="text1" w:themeTint="A6"/>
        </w:rPr>
        <w:t>a</w:t>
      </w:r>
      <w:r w:rsidR="005353BB">
        <w:rPr>
          <w:rFonts w:ascii="Palatino Linotype" w:hAnsi="Palatino Linotype"/>
          <w:color w:val="595959" w:themeColor="text1" w:themeTint="A6"/>
        </w:rPr>
        <w:t xml:space="preserve"> team</w:t>
      </w:r>
      <w:r>
        <w:rPr>
          <w:rFonts w:ascii="Palatino Linotype" w:hAnsi="Palatino Linotype"/>
          <w:color w:val="595959" w:themeColor="text1" w:themeTint="A6"/>
        </w:rPr>
        <w:t xml:space="preserve">, when the child moves to another school, </w:t>
      </w:r>
      <w:r w:rsidR="005353BB">
        <w:rPr>
          <w:rFonts w:ascii="Palatino Linotype" w:hAnsi="Palatino Linotype"/>
          <w:color w:val="595959" w:themeColor="text1" w:themeTint="A6"/>
        </w:rPr>
        <w:t>the TA has to start all over again.</w:t>
      </w:r>
    </w:p>
    <w:p w:rsidR="00EF4774" w:rsidRDefault="00EF4774" w:rsidP="00EF4774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Empowering parents to bring about change</w:t>
      </w:r>
      <w:r w:rsidR="005353BB">
        <w:rPr>
          <w:rFonts w:ascii="Palatino Linotype" w:hAnsi="Palatino Linotype"/>
          <w:color w:val="595959" w:themeColor="text1" w:themeTint="A6"/>
        </w:rPr>
        <w:t xml:space="preserve"> is important for a system supported by TA efforts</w:t>
      </w:r>
      <w:r w:rsidR="006A0780">
        <w:rPr>
          <w:rFonts w:ascii="Palatino Linotype" w:hAnsi="Palatino Linotype"/>
          <w:color w:val="595959" w:themeColor="text1" w:themeTint="A6"/>
        </w:rPr>
        <w:t>.</w:t>
      </w:r>
    </w:p>
    <w:p w:rsidR="00EF4774" w:rsidRDefault="00EF4774" w:rsidP="00EF4774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Clear understanding with SEA</w:t>
      </w:r>
      <w:r w:rsidR="006A0780">
        <w:rPr>
          <w:rFonts w:ascii="Palatino Linotype" w:hAnsi="Palatino Linotype"/>
          <w:color w:val="595959" w:themeColor="text1" w:themeTint="A6"/>
        </w:rPr>
        <w:t>’s is</w:t>
      </w:r>
      <w:r>
        <w:rPr>
          <w:rFonts w:ascii="Palatino Linotype" w:hAnsi="Palatino Linotype"/>
          <w:color w:val="595959" w:themeColor="text1" w:themeTint="A6"/>
        </w:rPr>
        <w:t xml:space="preserve"> often difficult</w:t>
      </w:r>
      <w:r w:rsidR="006A0780">
        <w:rPr>
          <w:rFonts w:ascii="Palatino Linotype" w:hAnsi="Palatino Linotype"/>
          <w:color w:val="595959" w:themeColor="text1" w:themeTint="A6"/>
        </w:rPr>
        <w:t>.</w:t>
      </w:r>
    </w:p>
    <w:p w:rsidR="00EF4774" w:rsidRDefault="00EF4774" w:rsidP="00EF4774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Transition component needs to be in Intensive TA agreement</w:t>
      </w:r>
      <w:r w:rsidR="006A0780">
        <w:rPr>
          <w:rFonts w:ascii="Palatino Linotype" w:hAnsi="Palatino Linotype"/>
          <w:color w:val="595959" w:themeColor="text1" w:themeTint="A6"/>
        </w:rPr>
        <w:t>.</w:t>
      </w:r>
    </w:p>
    <w:p w:rsidR="006A0780" w:rsidRDefault="00EF4774" w:rsidP="00EF4774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 xml:space="preserve">Applicability of consultant model to </w:t>
      </w:r>
      <w:proofErr w:type="spellStart"/>
      <w:r>
        <w:rPr>
          <w:rFonts w:ascii="Palatino Linotype" w:hAnsi="Palatino Linotype"/>
          <w:color w:val="595959" w:themeColor="text1" w:themeTint="A6"/>
        </w:rPr>
        <w:t>Int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TA gets muddied by concepts of</w:t>
      </w:r>
      <w:r w:rsidR="005353BB">
        <w:rPr>
          <w:rFonts w:ascii="Palatino Linotype" w:hAnsi="Palatino Linotype"/>
          <w:color w:val="595959" w:themeColor="text1" w:themeTint="A6"/>
        </w:rPr>
        <w:t xml:space="preserve"> TA versus </w:t>
      </w:r>
      <w:r w:rsidR="006A0780">
        <w:rPr>
          <w:rFonts w:ascii="Palatino Linotype" w:hAnsi="Palatino Linotype"/>
          <w:color w:val="595959" w:themeColor="text1" w:themeTint="A6"/>
        </w:rPr>
        <w:t>direct service.</w:t>
      </w:r>
    </w:p>
    <w:p w:rsidR="00EF4774" w:rsidRDefault="00EF4774" w:rsidP="00EF4774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 xml:space="preserve">Need universal language for all state </w:t>
      </w:r>
      <w:proofErr w:type="spellStart"/>
      <w:r>
        <w:rPr>
          <w:rFonts w:ascii="Palatino Linotype" w:hAnsi="Palatino Linotype"/>
          <w:color w:val="595959" w:themeColor="text1" w:themeTint="A6"/>
        </w:rPr>
        <w:t>db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projects to talk about TA acti</w:t>
      </w:r>
      <w:r w:rsidR="006A0780">
        <w:rPr>
          <w:rFonts w:ascii="Palatino Linotype" w:hAnsi="Palatino Linotype"/>
          <w:color w:val="595959" w:themeColor="text1" w:themeTint="A6"/>
        </w:rPr>
        <w:t>vi</w:t>
      </w:r>
      <w:r>
        <w:rPr>
          <w:rFonts w:ascii="Palatino Linotype" w:hAnsi="Palatino Linotype"/>
          <w:color w:val="595959" w:themeColor="text1" w:themeTint="A6"/>
        </w:rPr>
        <w:t>ties and range of service</w:t>
      </w:r>
      <w:r w:rsidR="006A0780">
        <w:rPr>
          <w:rFonts w:ascii="Palatino Linotype" w:hAnsi="Palatino Linotype"/>
          <w:color w:val="595959" w:themeColor="text1" w:themeTint="A6"/>
        </w:rPr>
        <w:t>s.</w:t>
      </w:r>
    </w:p>
    <w:p w:rsidR="00EF4774" w:rsidRDefault="00EF4774" w:rsidP="00EF4774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 xml:space="preserve">If </w:t>
      </w:r>
      <w:r w:rsidR="006A0780">
        <w:rPr>
          <w:rFonts w:ascii="Palatino Linotype" w:hAnsi="Palatino Linotype"/>
          <w:color w:val="595959" w:themeColor="text1" w:themeTint="A6"/>
        </w:rPr>
        <w:t xml:space="preserve">as a provider you </w:t>
      </w:r>
      <w:r>
        <w:rPr>
          <w:rFonts w:ascii="Palatino Linotype" w:hAnsi="Palatino Linotype"/>
          <w:color w:val="595959" w:themeColor="text1" w:themeTint="A6"/>
        </w:rPr>
        <w:t xml:space="preserve">can’t meet all tenets of </w:t>
      </w:r>
      <w:proofErr w:type="spellStart"/>
      <w:r>
        <w:rPr>
          <w:rFonts w:ascii="Palatino Linotype" w:hAnsi="Palatino Linotype"/>
          <w:color w:val="595959" w:themeColor="text1" w:themeTint="A6"/>
        </w:rPr>
        <w:t>Int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TA can you triage based on what will result </w:t>
      </w:r>
      <w:r w:rsidR="006A0780">
        <w:rPr>
          <w:rFonts w:ascii="Palatino Linotype" w:hAnsi="Palatino Linotype"/>
          <w:color w:val="595959" w:themeColor="text1" w:themeTint="A6"/>
        </w:rPr>
        <w:t>in</w:t>
      </w:r>
      <w:r>
        <w:rPr>
          <w:rFonts w:ascii="Palatino Linotype" w:hAnsi="Palatino Linotype"/>
          <w:color w:val="595959" w:themeColor="text1" w:themeTint="A6"/>
        </w:rPr>
        <w:t xml:space="preserve"> meaningful outcome</w:t>
      </w:r>
      <w:r w:rsidR="006A0780">
        <w:rPr>
          <w:rFonts w:ascii="Palatino Linotype" w:hAnsi="Palatino Linotype"/>
          <w:color w:val="595959" w:themeColor="text1" w:themeTint="A6"/>
        </w:rPr>
        <w:t>s?</w:t>
      </w:r>
    </w:p>
    <w:p w:rsidR="00EF4774" w:rsidRDefault="00EF4774" w:rsidP="00EF4774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 xml:space="preserve">Need defined outcomes if we are going to get to </w:t>
      </w:r>
      <w:proofErr w:type="spellStart"/>
      <w:r>
        <w:rPr>
          <w:rFonts w:ascii="Palatino Linotype" w:hAnsi="Palatino Linotype"/>
          <w:color w:val="595959" w:themeColor="text1" w:themeTint="A6"/>
        </w:rPr>
        <w:t>Int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TA</w:t>
      </w:r>
      <w:r w:rsidR="006A0780">
        <w:rPr>
          <w:rFonts w:ascii="Palatino Linotype" w:hAnsi="Palatino Linotype"/>
          <w:color w:val="595959" w:themeColor="text1" w:themeTint="A6"/>
        </w:rPr>
        <w:t>.</w:t>
      </w:r>
    </w:p>
    <w:p w:rsidR="00FB4F7E" w:rsidRDefault="00FB4F7E" w:rsidP="00FB4F7E">
      <w:pPr>
        <w:pStyle w:val="NoSpacing"/>
        <w:rPr>
          <w:rFonts w:ascii="Palatino Linotype" w:hAnsi="Palatino Linotype"/>
          <w:color w:val="595959" w:themeColor="text1" w:themeTint="A6"/>
        </w:rPr>
      </w:pPr>
      <w:proofErr w:type="gramStart"/>
      <w:r>
        <w:rPr>
          <w:rFonts w:ascii="Palatino Linotype" w:hAnsi="Palatino Linotype"/>
          <w:color w:val="595959" w:themeColor="text1" w:themeTint="A6"/>
        </w:rPr>
        <w:t xml:space="preserve">Question of equity with </w:t>
      </w:r>
      <w:proofErr w:type="spellStart"/>
      <w:r>
        <w:rPr>
          <w:rFonts w:ascii="Palatino Linotype" w:hAnsi="Palatino Linotype"/>
          <w:color w:val="595959" w:themeColor="text1" w:themeTint="A6"/>
        </w:rPr>
        <w:t>Int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TA.</w:t>
      </w:r>
      <w:proofErr w:type="gramEnd"/>
      <w:r>
        <w:rPr>
          <w:rFonts w:ascii="Palatino Linotype" w:hAnsi="Palatino Linotype"/>
          <w:color w:val="595959" w:themeColor="text1" w:themeTint="A6"/>
        </w:rPr>
        <w:t xml:space="preserve">  If so much time, for example the agreement to make four visits to a child/team, is allotted to one child, there are many instances in which the needs of others requesting TA go unmet.</w:t>
      </w:r>
      <w:bookmarkStart w:id="0" w:name="_GoBack"/>
      <w:bookmarkEnd w:id="0"/>
    </w:p>
    <w:p w:rsidR="00F915C7" w:rsidRDefault="00F915C7" w:rsidP="00EF4774">
      <w:pPr>
        <w:pStyle w:val="NoSpacing"/>
        <w:rPr>
          <w:rFonts w:ascii="Palatino Linotype" w:hAnsi="Palatino Linotype"/>
          <w:color w:val="595959" w:themeColor="text1" w:themeTint="A6"/>
        </w:rPr>
      </w:pPr>
    </w:p>
    <w:p w:rsidR="006A0780" w:rsidRPr="006A0780" w:rsidRDefault="006A0780" w:rsidP="00EF4774">
      <w:pPr>
        <w:pStyle w:val="NoSpacing"/>
        <w:rPr>
          <w:rFonts w:ascii="Palatino Linotype" w:hAnsi="Palatino Linotype"/>
          <w:b/>
          <w:color w:val="595959" w:themeColor="text1" w:themeTint="A6"/>
          <w:u w:val="single"/>
        </w:rPr>
      </w:pPr>
      <w:r w:rsidRPr="006A0780">
        <w:rPr>
          <w:rFonts w:ascii="Palatino Linotype" w:hAnsi="Palatino Linotype"/>
          <w:b/>
          <w:color w:val="595959" w:themeColor="text1" w:themeTint="A6"/>
          <w:u w:val="single"/>
        </w:rPr>
        <w:t>Partnering to Address Common Challenges and Using the National Network</w:t>
      </w:r>
    </w:p>
    <w:p w:rsidR="005353BB" w:rsidRDefault="005353BB" w:rsidP="005353BB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As a network, figure out how to measure TA uniformly</w:t>
      </w:r>
      <w:r w:rsidR="006A0780">
        <w:rPr>
          <w:rFonts w:ascii="Palatino Linotype" w:hAnsi="Palatino Linotype"/>
          <w:color w:val="595959" w:themeColor="text1" w:themeTint="A6"/>
        </w:rPr>
        <w:t>.</w:t>
      </w:r>
    </w:p>
    <w:p w:rsidR="006A0780" w:rsidRDefault="006A0780" w:rsidP="006A0780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Revisit the OPI’s</w:t>
      </w:r>
      <w:r>
        <w:rPr>
          <w:rFonts w:ascii="Palatino Linotype" w:hAnsi="Palatino Linotype"/>
          <w:color w:val="595959" w:themeColor="text1" w:themeTint="A6"/>
        </w:rPr>
        <w:t>.</w:t>
      </w:r>
    </w:p>
    <w:p w:rsidR="00FB4F7E" w:rsidRDefault="00FB4F7E" w:rsidP="00FB4F7E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Develop conversation around intensive TA for new state projects.</w:t>
      </w:r>
    </w:p>
    <w:p w:rsidR="006A0780" w:rsidRDefault="006A0780" w:rsidP="006A0780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Pilot training dollars from OSEP to train new staff who are coming up</w:t>
      </w:r>
      <w:r>
        <w:rPr>
          <w:rFonts w:ascii="Palatino Linotype" w:hAnsi="Palatino Linotype"/>
          <w:color w:val="595959" w:themeColor="text1" w:themeTint="A6"/>
        </w:rPr>
        <w:t xml:space="preserve"> on providing TA.</w:t>
      </w:r>
    </w:p>
    <w:p w:rsidR="00F915C7" w:rsidRDefault="00F915C7" w:rsidP="00EF4774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>Hold National webinar</w:t>
      </w:r>
      <w:r w:rsidR="006A0780">
        <w:rPr>
          <w:rFonts w:ascii="Palatino Linotype" w:hAnsi="Palatino Linotype"/>
          <w:color w:val="595959" w:themeColor="text1" w:themeTint="A6"/>
        </w:rPr>
        <w:t xml:space="preserve"> to continue the conversations around Intensive TA</w:t>
      </w:r>
    </w:p>
    <w:p w:rsidR="00F915C7" w:rsidRDefault="006A0780" w:rsidP="00EF4774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t xml:space="preserve">Provide </w:t>
      </w:r>
      <w:r w:rsidR="00F915C7">
        <w:rPr>
          <w:rFonts w:ascii="Palatino Linotype" w:hAnsi="Palatino Linotype"/>
          <w:color w:val="595959" w:themeColor="text1" w:themeTint="A6"/>
        </w:rPr>
        <w:t>Intensive TA on Intensive TA</w:t>
      </w:r>
      <w:r>
        <w:rPr>
          <w:rFonts w:ascii="Palatino Linotype" w:hAnsi="Palatino Linotype"/>
          <w:color w:val="595959" w:themeColor="text1" w:themeTint="A6"/>
        </w:rPr>
        <w:t>.</w:t>
      </w:r>
    </w:p>
    <w:p w:rsidR="00F915C7" w:rsidRPr="00EF4774" w:rsidRDefault="00F915C7" w:rsidP="00EF4774">
      <w:pPr>
        <w:pStyle w:val="NoSpacing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color w:val="595959" w:themeColor="text1" w:themeTint="A6"/>
        </w:rPr>
        <w:lastRenderedPageBreak/>
        <w:t xml:space="preserve">Need to document the extent to which projects don’t have resource to do </w:t>
      </w:r>
      <w:proofErr w:type="spellStart"/>
      <w:r>
        <w:rPr>
          <w:rFonts w:ascii="Palatino Linotype" w:hAnsi="Palatino Linotype"/>
          <w:color w:val="595959" w:themeColor="text1" w:themeTint="A6"/>
        </w:rPr>
        <w:t>Int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TA with equity across the project.  Maybe </w:t>
      </w:r>
      <w:proofErr w:type="spellStart"/>
      <w:r>
        <w:rPr>
          <w:rFonts w:ascii="Palatino Linotype" w:hAnsi="Palatino Linotype"/>
          <w:color w:val="595959" w:themeColor="text1" w:themeTint="A6"/>
        </w:rPr>
        <w:t>Int</w:t>
      </w:r>
      <w:proofErr w:type="spellEnd"/>
      <w:r>
        <w:rPr>
          <w:rFonts w:ascii="Palatino Linotype" w:hAnsi="Palatino Linotype"/>
          <w:color w:val="595959" w:themeColor="text1" w:themeTint="A6"/>
        </w:rPr>
        <w:t xml:space="preserve"> TA is not something that state projects can offer.</w:t>
      </w:r>
    </w:p>
    <w:sectPr w:rsidR="00F915C7" w:rsidRPr="00EF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4"/>
    <w:rsid w:val="005353BB"/>
    <w:rsid w:val="006A0780"/>
    <w:rsid w:val="009948FC"/>
    <w:rsid w:val="00DC245A"/>
    <w:rsid w:val="00EF4774"/>
    <w:rsid w:val="00F915C7"/>
    <w:rsid w:val="00F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2014-07-30T03:47:00Z</dcterms:created>
  <dcterms:modified xsi:type="dcterms:W3CDTF">2014-07-30T19:24:00Z</dcterms:modified>
</cp:coreProperties>
</file>