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4" w:rsidRPr="00D31303" w:rsidRDefault="000F6FA4" w:rsidP="000D083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>DB Summit July 20, 2014</w:t>
      </w:r>
    </w:p>
    <w:p w:rsidR="00DC245A" w:rsidRPr="00D31303" w:rsidRDefault="000D0834" w:rsidP="000D083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>Passing the Baton</w:t>
      </w:r>
      <w:r w:rsidR="000F6FA4"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Concurrent Session</w:t>
      </w:r>
    </w:p>
    <w:p w:rsidR="000D0834" w:rsidRPr="00D31303" w:rsidRDefault="000F6FA4" w:rsidP="000D0834">
      <w:pPr>
        <w:pStyle w:val="NoSpacing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Maurice </w:t>
      </w:r>
      <w:proofErr w:type="spellStart"/>
      <w:r w:rsidR="000D0834"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>Belote</w:t>
      </w:r>
      <w:proofErr w:type="spellEnd"/>
      <w:r w:rsidR="000D0834"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and </w:t>
      </w:r>
      <w:r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Lisa </w:t>
      </w:r>
      <w:proofErr w:type="spellStart"/>
      <w:r w:rsidR="000D0834" w:rsidRPr="00D31303">
        <w:rPr>
          <w:rFonts w:asciiTheme="majorHAnsi" w:hAnsiTheme="majorHAnsi"/>
          <w:b/>
          <w:color w:val="595959" w:themeColor="text1" w:themeTint="A6"/>
          <w:sz w:val="28"/>
          <w:szCs w:val="28"/>
        </w:rPr>
        <w:t>Poff</w:t>
      </w:r>
      <w:proofErr w:type="spellEnd"/>
    </w:p>
    <w:p w:rsidR="00D31303" w:rsidRDefault="00D31303" w:rsidP="000D0834">
      <w:pPr>
        <w:pStyle w:val="NoSpacing"/>
        <w:rPr>
          <w:rFonts w:ascii="Palatino Linotype" w:hAnsi="Palatino Linotype"/>
          <w:color w:val="595959" w:themeColor="text1" w:themeTint="A6"/>
        </w:rPr>
      </w:pPr>
    </w:p>
    <w:p w:rsidR="00D31303" w:rsidRPr="00D31303" w:rsidRDefault="00D31303" w:rsidP="000D083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Session </w:t>
      </w:r>
      <w:proofErr w:type="gramStart"/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>participants  15</w:t>
      </w:r>
      <w:proofErr w:type="gramEnd"/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 – 20</w:t>
      </w:r>
      <w:r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  ( I didn’t count…that is a guess)</w:t>
      </w:r>
    </w:p>
    <w:p w:rsidR="00D31303" w:rsidRPr="00D31303" w:rsidRDefault="00D31303" w:rsidP="000D083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</w:p>
    <w:p w:rsidR="000F6FA4" w:rsidRPr="00D31303" w:rsidRDefault="000F6FA4" w:rsidP="000D083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Some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L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eading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Q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uestions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W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ere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Introduced</w:t>
      </w:r>
    </w:p>
    <w:p w:rsidR="00D31303" w:rsidRPr="00D31303" w:rsidRDefault="00D31303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Maurice introduced the session with a couple of questions:</w:t>
      </w: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How do you know when </w:t>
      </w:r>
      <w:r w:rsidR="00D31303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it is time 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to go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?</w:t>
      </w: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How do you know when to let go and exit gracefully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?</w:t>
      </w:r>
    </w:p>
    <w:p w:rsidR="000F6FA4" w:rsidRPr="00D31303" w:rsidRDefault="000F6FA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Lisa shared some of her experience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s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in the transition in Indiana with Karen </w:t>
      </w:r>
      <w:proofErr w:type="spellStart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Goehls</w:t>
      </w:r>
      <w:proofErr w:type="spellEnd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’ retirement:</w:t>
      </w:r>
    </w:p>
    <w:p w:rsidR="000D0834" w:rsidRPr="00D31303" w:rsidRDefault="000D0834" w:rsidP="00223471">
      <w:pPr>
        <w:pStyle w:val="NoSpacing"/>
        <w:numPr>
          <w:ilvl w:val="0"/>
          <w:numId w:val="4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Value of relinquishing early – letting people know that current decisions 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about the future 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are up to them</w:t>
      </w:r>
    </w:p>
    <w:p w:rsidR="000F6FA4" w:rsidRPr="00D31303" w:rsidRDefault="000F6FA4" w:rsidP="00223471">
      <w:pPr>
        <w:pStyle w:val="NoSpacing"/>
        <w:numPr>
          <w:ilvl w:val="0"/>
          <w:numId w:val="4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Helps to foster decision making skills and investment in project ownership</w:t>
      </w:r>
    </w:p>
    <w:p w:rsidR="000F6FA4" w:rsidRPr="00D31303" w:rsidRDefault="000F6FA4" w:rsidP="000F6FA4">
      <w:pPr>
        <w:pStyle w:val="NoSpacing"/>
        <w:ind w:firstLine="720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0F6FA4" w:rsidRPr="00D31303" w:rsidRDefault="000F6FA4" w:rsidP="000F6FA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>Logistic</w:t>
      </w:r>
      <w:r w:rsid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>al Issues</w:t>
      </w:r>
    </w:p>
    <w:p w:rsidR="000D0834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What if the person who you want to follow you is not on the 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project?</w:t>
      </w:r>
    </w:p>
    <w:p w:rsidR="00223471" w:rsidRDefault="00D31303" w:rsidP="00D31303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>There are a variety of things that projects have done in order to help develop people that they might want to recruit:</w:t>
      </w:r>
    </w:p>
    <w:p w:rsidR="00D31303" w:rsidRPr="00D31303" w:rsidRDefault="00D31303" w:rsidP="00223471">
      <w:pPr>
        <w:pStyle w:val="NoSpacing"/>
        <w:numPr>
          <w:ilvl w:val="0"/>
          <w:numId w:val="3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Mentor them thru a variety of activities</w:t>
      </w:r>
    </w:p>
    <w:p w:rsidR="00D31303" w:rsidRPr="00D31303" w:rsidRDefault="00D31303" w:rsidP="00223471">
      <w:pPr>
        <w:pStyle w:val="NoSpacing"/>
        <w:numPr>
          <w:ilvl w:val="0"/>
          <w:numId w:val="3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Proj</w:t>
      </w:r>
      <w:r w:rsidR="00223471">
        <w:rPr>
          <w:rFonts w:ascii="Palatino Linotype" w:hAnsi="Palatino Linotype"/>
          <w:color w:val="595959" w:themeColor="text1" w:themeTint="A6"/>
          <w:sz w:val="24"/>
          <w:szCs w:val="24"/>
        </w:rPr>
        <w:t>ect has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delivered training and TA – they have been the recipient </w:t>
      </w:r>
    </w:p>
    <w:p w:rsidR="00D31303" w:rsidRPr="00D31303" w:rsidRDefault="00D31303" w:rsidP="00223471">
      <w:pPr>
        <w:pStyle w:val="NoSpacing"/>
        <w:numPr>
          <w:ilvl w:val="0"/>
          <w:numId w:val="3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Invitations to co present</w:t>
      </w:r>
    </w:p>
    <w:p w:rsidR="00D31303" w:rsidRPr="00D31303" w:rsidRDefault="00D31303" w:rsidP="00223471">
      <w:pPr>
        <w:pStyle w:val="NoSpacing"/>
        <w:numPr>
          <w:ilvl w:val="0"/>
          <w:numId w:val="3"/>
        </w:numPr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Bringing in as guest presenters or lecturers</w:t>
      </w:r>
    </w:p>
    <w:p w:rsidR="00D31303" w:rsidRPr="00D31303" w:rsidRDefault="00D31303" w:rsidP="00223471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594E48" w:rsidRPr="00D31303" w:rsidRDefault="00594E48" w:rsidP="00594E48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Important to identify project needs when considering the transition – </w:t>
      </w:r>
      <w:proofErr w:type="spellStart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db</w:t>
      </w:r>
      <w:proofErr w:type="spellEnd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expertise or general skills geared towards TA.  </w:t>
      </w: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What is the mechanism for passing the </w:t>
      </w:r>
      <w:proofErr w:type="spellStart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db</w:t>
      </w:r>
      <w:proofErr w:type="spellEnd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content to new project staff </w:t>
      </w:r>
      <w:proofErr w:type="gramStart"/>
      <w:r w:rsidR="00594E48">
        <w:rPr>
          <w:rFonts w:ascii="Palatino Linotype" w:hAnsi="Palatino Linotype"/>
          <w:color w:val="595959" w:themeColor="text1" w:themeTint="A6"/>
          <w:sz w:val="24"/>
          <w:szCs w:val="24"/>
        </w:rPr>
        <w:t>who</w:t>
      </w:r>
      <w:proofErr w:type="gramEnd"/>
      <w:r w:rsidR="00594E48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come on with no expertise in </w:t>
      </w:r>
      <w:proofErr w:type="spellStart"/>
      <w:r w:rsidR="00594E48">
        <w:rPr>
          <w:rFonts w:ascii="Palatino Linotype" w:hAnsi="Palatino Linotype"/>
          <w:color w:val="595959" w:themeColor="text1" w:themeTint="A6"/>
          <w:sz w:val="24"/>
          <w:szCs w:val="24"/>
        </w:rPr>
        <w:t>db</w:t>
      </w:r>
      <w:proofErr w:type="spellEnd"/>
    </w:p>
    <w:p w:rsidR="0029558F" w:rsidRPr="00D31303" w:rsidRDefault="0029558F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All competing for small pool of talent</w:t>
      </w:r>
    </w:p>
    <w:p w:rsidR="00594E48" w:rsidRPr="00D31303" w:rsidRDefault="00594E48" w:rsidP="00594E48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Meaningful planning includes figuring out where project will go.  Smaller more rural states may not replace people from SDOE</w:t>
      </w:r>
      <w:r w:rsidR="00821E49">
        <w:rPr>
          <w:rFonts w:ascii="Palatino Linotype" w:hAnsi="Palatino Linotype"/>
          <w:color w:val="595959" w:themeColor="text1" w:themeTint="A6"/>
          <w:sz w:val="24"/>
          <w:szCs w:val="24"/>
        </w:rPr>
        <w:t>’s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when they vaca</w:t>
      </w:r>
      <w:r w:rsidR="0024570E">
        <w:rPr>
          <w:rFonts w:ascii="Palatino Linotype" w:hAnsi="Palatino Linotype"/>
          <w:color w:val="595959" w:themeColor="text1" w:themeTint="A6"/>
          <w:sz w:val="24"/>
          <w:szCs w:val="24"/>
        </w:rPr>
        <w:t>te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a position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.  In smaller states in SDOE</w:t>
      </w:r>
      <w:r w:rsidR="00821E49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’s 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there may be no one available who has specialized background.  </w:t>
      </w:r>
    </w:p>
    <w:p w:rsidR="00594E48" w:rsidRPr="00D31303" w:rsidRDefault="00821E49" w:rsidP="00594E48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>S</w:t>
      </w:r>
      <w:r w:rsidR="00594E48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DOEs and Universities may not want grants any longer when key personnel retire</w:t>
      </w:r>
    </w:p>
    <w:p w:rsidR="00594E48" w:rsidRPr="00D31303" w:rsidRDefault="00594E48" w:rsidP="00594E48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Funding to allow for overlap of staff</w:t>
      </w:r>
      <w:r w:rsidRPr="00594E48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</w:t>
      </w:r>
    </w:p>
    <w:p w:rsidR="0029558F" w:rsidRPr="00D31303" w:rsidRDefault="00594E48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In order for mentoring to be possible there needs to be cross over/overlap and funding is at minimal levels making that impossible.  </w:t>
      </w:r>
    </w:p>
    <w:p w:rsidR="0029558F" w:rsidRPr="00D31303" w:rsidRDefault="0029558F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594E48" w:rsidRPr="00594E48" w:rsidRDefault="00594E48" w:rsidP="000D083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  <w:r w:rsidRP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Suggestions to Consider</w:t>
      </w:r>
    </w:p>
    <w:p w:rsidR="001F5290" w:rsidRDefault="00594E48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lastRenderedPageBreak/>
        <w:t>Work with HR department to accom</w:t>
      </w:r>
      <w:r w:rsidR="001F5290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odate the various needs</w:t>
      </w:r>
      <w:r w:rsidR="001F5290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that will come up in trying to bring new people on.</w:t>
      </w:r>
    </w:p>
    <w:p w:rsidR="00705D84" w:rsidRPr="00D31303" w:rsidRDefault="00705D8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1F5290" w:rsidRPr="00D31303" w:rsidRDefault="001F5290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Multi state gran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t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s may be mechani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sm 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to consolidate grants and expertise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if some states choose </w:t>
      </w:r>
      <w:r w:rsidR="00821E49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not 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>to replace retiring staff within a dept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.</w:t>
      </w:r>
    </w:p>
    <w:p w:rsidR="001F5290" w:rsidRPr="00D31303" w:rsidRDefault="001F5290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594E48" w:rsidRPr="00D31303" w:rsidRDefault="00594E48" w:rsidP="00594E48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Having systems and infrastructure (policy) can be very valuable for transferring.  WV has spent a lot of time at the state level building in policy to insure services whether there is skilled staff within the project or in the event that there is no project.</w:t>
      </w:r>
    </w:p>
    <w:p w:rsidR="001F5290" w:rsidRPr="00D31303" w:rsidRDefault="001F5290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594E48" w:rsidRDefault="00594E48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Consider when to transition.  </w:t>
      </w:r>
      <w:r w:rsidR="0029558F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Many are choosing to transition after the new cycle has begun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, building in some time to get the new project started.  Some of these people have taken reduced FTE</w:t>
      </w:r>
      <w:r w:rsidR="0029558F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. </w:t>
      </w:r>
    </w:p>
    <w:p w:rsidR="00594E48" w:rsidRDefault="00594E48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29558F" w:rsidRPr="00D31303" w:rsidRDefault="0029558F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Need to make sure that new people on the project can write gran</w:t>
      </w:r>
      <w:r w:rsidR="00D31303">
        <w:rPr>
          <w:rFonts w:ascii="Palatino Linotype" w:hAnsi="Palatino Linotype"/>
          <w:color w:val="595959" w:themeColor="text1" w:themeTint="A6"/>
          <w:sz w:val="24"/>
          <w:szCs w:val="24"/>
        </w:rPr>
        <w:t>t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s and write reports</w:t>
      </w: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0D0834" w:rsidRPr="00D31303" w:rsidRDefault="000D0834" w:rsidP="000D0834">
      <w:pPr>
        <w:pStyle w:val="NoSpacing"/>
        <w:rPr>
          <w:rFonts w:ascii="Palatino Linotype" w:hAnsi="Palatino Linotype"/>
          <w:b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How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C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an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W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 xml:space="preserve">e </w:t>
      </w:r>
      <w:r w:rsidR="00594E48">
        <w:rPr>
          <w:rFonts w:ascii="Palatino Linotype" w:hAnsi="Palatino Linotype"/>
          <w:b/>
          <w:color w:val="595959" w:themeColor="text1" w:themeTint="A6"/>
          <w:sz w:val="24"/>
          <w:szCs w:val="24"/>
        </w:rPr>
        <w:t>P</w:t>
      </w:r>
      <w:r w:rsidRPr="00D31303">
        <w:rPr>
          <w:rFonts w:ascii="Palatino Linotype" w:hAnsi="Palatino Linotype"/>
          <w:b/>
          <w:color w:val="595959" w:themeColor="text1" w:themeTint="A6"/>
          <w:sz w:val="24"/>
          <w:szCs w:val="24"/>
        </w:rPr>
        <w:t>artner</w:t>
      </w:r>
    </w:p>
    <w:p w:rsidR="000D0834" w:rsidRDefault="00594E48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>Recruit</w:t>
      </w:r>
      <w:r w:rsidR="000D0834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Helen Keller Fellows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– Do outreach via email letter </w:t>
      </w:r>
      <w:r w:rsidR="000D0834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reminding them of their efforts in TA when they were in the program and letting them know that there are many opportunities occurring across the network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.</w:t>
      </w:r>
    </w:p>
    <w:p w:rsidR="00821E49" w:rsidRDefault="00821E49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821E49" w:rsidRDefault="00821E49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Recruit from NLCSD and NCLVI – the PHD consortium for leadership.  </w:t>
      </w:r>
    </w:p>
    <w:p w:rsidR="00705D84" w:rsidRPr="00D31303" w:rsidRDefault="00705D8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705D84" w:rsidRDefault="00705D84" w:rsidP="00705D8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Create opportunities that are content focused to bring newcomers in and provide opportunities to learn.  </w:t>
      </w:r>
      <w:r w:rsidR="000D0834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In old days there was a 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national </w:t>
      </w:r>
      <w:r w:rsidR="000D0834"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conference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, topical conference, summer institutes, etc., that provided </w:t>
      </w:r>
      <w:proofErr w:type="gramStart"/>
      <w:r>
        <w:rPr>
          <w:rFonts w:ascii="Palatino Linotype" w:hAnsi="Palatino Linotype"/>
          <w:color w:val="595959" w:themeColor="text1" w:themeTint="A6"/>
          <w:sz w:val="24"/>
          <w:szCs w:val="24"/>
        </w:rPr>
        <w:t>opportunit</w:t>
      </w:r>
      <w:r w:rsidR="00B100B3">
        <w:rPr>
          <w:rFonts w:ascii="Palatino Linotype" w:hAnsi="Palatino Linotype"/>
          <w:color w:val="595959" w:themeColor="text1" w:themeTint="A6"/>
          <w:sz w:val="24"/>
          <w:szCs w:val="24"/>
        </w:rPr>
        <w:t>y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.</w:t>
      </w:r>
      <w:proofErr w:type="gramEnd"/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 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The network is a resource – how can we improve mentoring of new people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>.  Consider a network approach</w:t>
      </w:r>
    </w:p>
    <w:p w:rsidR="005750A6" w:rsidRDefault="005750A6" w:rsidP="00705D8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5750A6" w:rsidRPr="005750A6" w:rsidRDefault="005750A6" w:rsidP="005750A6">
      <w:pPr>
        <w:rPr>
          <w:rFonts w:ascii="Palatino Linotype" w:hAnsi="Palatino Linotype"/>
          <w:color w:val="595959" w:themeColor="text1" w:themeTint="A6"/>
          <w:sz w:val="24"/>
          <w:szCs w:val="24"/>
        </w:rPr>
      </w:pPr>
      <w:r>
        <w:rPr>
          <w:rFonts w:ascii="Palatino Linotype" w:hAnsi="Palatino Linotype"/>
          <w:color w:val="595959" w:themeColor="text1" w:themeTint="A6"/>
          <w:sz w:val="24"/>
          <w:szCs w:val="24"/>
        </w:rPr>
        <w:t>Devise mechanisms for continuing th</w:t>
      </w:r>
      <w:r w:rsidR="00B100B3">
        <w:rPr>
          <w:rFonts w:ascii="Palatino Linotype" w:hAnsi="Palatino Linotype"/>
          <w:color w:val="595959" w:themeColor="text1" w:themeTint="A6"/>
          <w:sz w:val="24"/>
          <w:szCs w:val="24"/>
        </w:rPr>
        <w:t>is</w:t>
      </w:r>
      <w:r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conversation</w:t>
      </w:r>
      <w:r w:rsidR="00B100B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and come up with very specific ideas about how to use the network in recruiting and mentoring new people and to </w:t>
      </w:r>
      <w:r w:rsidRPr="005750A6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provide some of that content information that </w:t>
      </w:r>
      <w:r w:rsidR="00B100B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is a </w:t>
      </w:r>
      <w:r w:rsidRPr="005750A6">
        <w:rPr>
          <w:rFonts w:ascii="Palatino Linotype" w:hAnsi="Palatino Linotype"/>
          <w:color w:val="595959" w:themeColor="text1" w:themeTint="A6"/>
          <w:sz w:val="24"/>
          <w:szCs w:val="24"/>
        </w:rPr>
        <w:t>source of concern. </w:t>
      </w:r>
    </w:p>
    <w:p w:rsidR="00705D84" w:rsidRDefault="00705D8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0D0834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Intensive TA 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>from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Linda McDowell on how to get seed $$ to develop staff</w:t>
      </w:r>
    </w:p>
    <w:p w:rsidR="00705D84" w:rsidRPr="00D31303" w:rsidRDefault="00705D8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Use models of professional development and competencies to address the expectations that personnel are trained.</w:t>
      </w:r>
    </w:p>
    <w:p w:rsidR="000D0834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705D84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lastRenderedPageBreak/>
        <w:t>Have to teach people in this field how to keep options open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.  That there are opportunities </w:t>
      </w:r>
    </w:p>
    <w:p w:rsidR="0024570E" w:rsidRDefault="0024570E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How do these children get services if we all 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>are gone?  W</w:t>
      </w:r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hat have we done to insure a system is in place for </w:t>
      </w:r>
      <w:proofErr w:type="spellStart"/>
      <w:r w:rsidRPr="00D31303">
        <w:rPr>
          <w:rFonts w:ascii="Palatino Linotype" w:hAnsi="Palatino Linotype"/>
          <w:color w:val="595959" w:themeColor="text1" w:themeTint="A6"/>
          <w:sz w:val="24"/>
          <w:szCs w:val="24"/>
        </w:rPr>
        <w:t>dbfunding</w:t>
      </w:r>
      <w:proofErr w:type="spellEnd"/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for the long term</w:t>
      </w:r>
      <w:r w:rsidR="002661B2">
        <w:rPr>
          <w:rFonts w:ascii="Palatino Linotype" w:hAnsi="Palatino Linotype"/>
          <w:color w:val="595959" w:themeColor="text1" w:themeTint="A6"/>
          <w:sz w:val="24"/>
          <w:szCs w:val="24"/>
        </w:rPr>
        <w:t>?</w:t>
      </w:r>
      <w:r w:rsidR="00705D84">
        <w:rPr>
          <w:rFonts w:ascii="Palatino Linotype" w:hAnsi="Palatino Linotype"/>
          <w:color w:val="595959" w:themeColor="text1" w:themeTint="A6"/>
          <w:sz w:val="24"/>
          <w:szCs w:val="24"/>
        </w:rPr>
        <w:t xml:space="preserve">  </w:t>
      </w:r>
    </w:p>
    <w:p w:rsidR="0029558F" w:rsidRPr="00D31303" w:rsidRDefault="0029558F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p w:rsidR="000D0834" w:rsidRPr="00D31303" w:rsidRDefault="000D0834" w:rsidP="000D0834">
      <w:pPr>
        <w:pStyle w:val="NoSpacing"/>
        <w:rPr>
          <w:rFonts w:ascii="Palatino Linotype" w:hAnsi="Palatino Linotype"/>
          <w:color w:val="595959" w:themeColor="text1" w:themeTint="A6"/>
          <w:sz w:val="24"/>
          <w:szCs w:val="24"/>
        </w:rPr>
      </w:pPr>
    </w:p>
    <w:sectPr w:rsidR="000D0834" w:rsidRPr="00D3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466"/>
    <w:multiLevelType w:val="hybridMultilevel"/>
    <w:tmpl w:val="14E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ED8"/>
    <w:multiLevelType w:val="hybridMultilevel"/>
    <w:tmpl w:val="90CC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63E42"/>
    <w:multiLevelType w:val="hybridMultilevel"/>
    <w:tmpl w:val="7BBE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A77FE"/>
    <w:multiLevelType w:val="hybridMultilevel"/>
    <w:tmpl w:val="588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34"/>
    <w:rsid w:val="000D0834"/>
    <w:rsid w:val="000F6FA4"/>
    <w:rsid w:val="001F5290"/>
    <w:rsid w:val="00223471"/>
    <w:rsid w:val="0024570E"/>
    <w:rsid w:val="002661B2"/>
    <w:rsid w:val="0029558F"/>
    <w:rsid w:val="005750A6"/>
    <w:rsid w:val="00594E48"/>
    <w:rsid w:val="00705D84"/>
    <w:rsid w:val="007A0E49"/>
    <w:rsid w:val="00821E49"/>
    <w:rsid w:val="00B100B3"/>
    <w:rsid w:val="00D31303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2014-07-30T04:12:00Z</dcterms:created>
  <dcterms:modified xsi:type="dcterms:W3CDTF">2014-08-20T21:53:00Z</dcterms:modified>
</cp:coreProperties>
</file>