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25A3" w14:textId="77777777" w:rsidR="006435BA" w:rsidRPr="00215F65" w:rsidRDefault="006435BA" w:rsidP="006435BA">
      <w:pPr>
        <w:rPr>
          <w:rFonts w:ascii="Times New Roman" w:hAnsi="Times New Roman" w:cs="Times New Roman"/>
          <w:b/>
          <w:sz w:val="28"/>
          <w:szCs w:val="28"/>
        </w:rPr>
      </w:pPr>
      <w:r w:rsidRPr="00215F65">
        <w:rPr>
          <w:rFonts w:ascii="Times New Roman" w:hAnsi="Times New Roman" w:cs="Times New Roman"/>
          <w:b/>
          <w:sz w:val="28"/>
          <w:szCs w:val="28"/>
        </w:rPr>
        <w:t xml:space="preserve">Recommendations to Improve Transition Outcomes for students with Deaf-Blindness and Additional Disabilities </w:t>
      </w:r>
    </w:p>
    <w:p w14:paraId="2955A7CC" w14:textId="77777777" w:rsidR="00E20221" w:rsidRPr="00E20221" w:rsidRDefault="006435BA" w:rsidP="006435BA">
      <w:pPr>
        <w:rPr>
          <w:rFonts w:ascii="Times New Roman" w:hAnsi="Times New Roman" w:cs="Times New Roman"/>
          <w:sz w:val="24"/>
          <w:szCs w:val="24"/>
        </w:rPr>
      </w:pPr>
      <w:r w:rsidRPr="00E20221">
        <w:rPr>
          <w:rFonts w:ascii="Times New Roman" w:hAnsi="Times New Roman" w:cs="Times New Roman"/>
          <w:sz w:val="24"/>
          <w:szCs w:val="24"/>
        </w:rPr>
        <w:t>Drop in call #2</w:t>
      </w:r>
      <w:r w:rsidR="00E20221" w:rsidRPr="00E20221">
        <w:rPr>
          <w:rFonts w:ascii="Times New Roman" w:hAnsi="Times New Roman" w:cs="Times New Roman"/>
          <w:sz w:val="24"/>
          <w:szCs w:val="24"/>
        </w:rPr>
        <w:t xml:space="preserve"> – New policies a</w:t>
      </w:r>
      <w:bookmarkStart w:id="0" w:name="_GoBack"/>
      <w:bookmarkEnd w:id="0"/>
      <w:r w:rsidR="00E20221" w:rsidRPr="00E20221">
        <w:rPr>
          <w:rFonts w:ascii="Times New Roman" w:hAnsi="Times New Roman" w:cs="Times New Roman"/>
          <w:sz w:val="24"/>
          <w:szCs w:val="24"/>
        </w:rPr>
        <w:t>nd laws to support accessing a full life after leaving school</w:t>
      </w:r>
      <w:r w:rsidRPr="00E20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2FED2" w14:textId="77777777" w:rsidR="006435BA" w:rsidRPr="00E20221" w:rsidRDefault="006435BA" w:rsidP="006435BA">
      <w:pPr>
        <w:rPr>
          <w:rFonts w:ascii="Times New Roman" w:hAnsi="Times New Roman" w:cs="Times New Roman"/>
          <w:sz w:val="24"/>
          <w:szCs w:val="24"/>
        </w:rPr>
      </w:pPr>
      <w:r w:rsidRPr="00E20221">
        <w:rPr>
          <w:rFonts w:ascii="Times New Roman" w:hAnsi="Times New Roman" w:cs="Times New Roman"/>
          <w:sz w:val="24"/>
          <w:szCs w:val="24"/>
        </w:rPr>
        <w:t>January</w:t>
      </w:r>
      <w:r w:rsidR="00E20221" w:rsidRPr="00E20221">
        <w:rPr>
          <w:rFonts w:ascii="Times New Roman" w:hAnsi="Times New Roman" w:cs="Times New Roman"/>
          <w:sz w:val="24"/>
          <w:szCs w:val="24"/>
        </w:rPr>
        <w:t xml:space="preserve"> 9</w:t>
      </w:r>
      <w:r w:rsidR="00E20221" w:rsidRPr="00E202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221" w:rsidRPr="00E20221">
        <w:rPr>
          <w:rFonts w:ascii="Times New Roman" w:hAnsi="Times New Roman" w:cs="Times New Roman"/>
          <w:sz w:val="24"/>
          <w:szCs w:val="24"/>
        </w:rPr>
        <w:t xml:space="preserve"> </w:t>
      </w:r>
      <w:r w:rsidRPr="00E20221">
        <w:rPr>
          <w:rFonts w:ascii="Times New Roman" w:hAnsi="Times New Roman" w:cs="Times New Roman"/>
          <w:sz w:val="24"/>
          <w:szCs w:val="24"/>
        </w:rPr>
        <w:t>2019 highlights:</w:t>
      </w:r>
    </w:p>
    <w:p w14:paraId="31C6A398" w14:textId="77777777" w:rsidR="006435BA" w:rsidRPr="00E20221" w:rsidRDefault="006435BA" w:rsidP="0064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20221">
        <w:rPr>
          <w:rFonts w:ascii="Times New Roman" w:eastAsia="Times New Roman" w:hAnsi="Times New Roman" w:cs="Times New Roman"/>
          <w:i/>
          <w:iCs/>
          <w:sz w:val="24"/>
          <w:szCs w:val="24"/>
        </w:rPr>
        <w:t>Recommendations to Improve Transition Outcomes for Students with Deaf-Blindness and Additional Disabilities</w:t>
      </w:r>
      <w:r w:rsidRPr="00E20221">
        <w:rPr>
          <w:rFonts w:ascii="Times New Roman" w:eastAsia="Times New Roman" w:hAnsi="Times New Roman" w:cs="Times New Roman"/>
          <w:sz w:val="24"/>
          <w:szCs w:val="24"/>
        </w:rPr>
        <w:t xml:space="preserve"> were developed to ensure that students with deaf-blindness and long-term support needs are included and can access quality lives in their communities. Based on current laws, policies, and best practices, they provide information and recommendations in six essential areas:</w:t>
      </w:r>
    </w:p>
    <w:p w14:paraId="2C7EC7E0" w14:textId="77777777" w:rsidR="006435BA" w:rsidRPr="00E20221" w:rsidRDefault="006435BA" w:rsidP="006435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>Training and technical assistance to increase expectations</w:t>
      </w:r>
    </w:p>
    <w:p w14:paraId="16C6A50F" w14:textId="77777777" w:rsidR="006435BA" w:rsidRPr="00E20221" w:rsidRDefault="006435BA" w:rsidP="006435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>Work experiences</w:t>
      </w:r>
    </w:p>
    <w:p w14:paraId="5DB6EB44" w14:textId="77777777" w:rsidR="006435BA" w:rsidRPr="00E20221" w:rsidRDefault="006435BA" w:rsidP="006435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>Community activities and living</w:t>
      </w:r>
    </w:p>
    <w:p w14:paraId="4D6C8018" w14:textId="77777777" w:rsidR="006435BA" w:rsidRPr="00E20221" w:rsidRDefault="006435BA" w:rsidP="006435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>School-adult agency collaboration</w:t>
      </w:r>
    </w:p>
    <w:p w14:paraId="567B043D" w14:textId="77777777" w:rsidR="00E20221" w:rsidRPr="00E20221" w:rsidRDefault="006435BA" w:rsidP="006435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>Qualified personnel in schools and adult service agencies</w:t>
      </w:r>
    </w:p>
    <w:p w14:paraId="485E8B1A" w14:textId="77777777" w:rsidR="006435BA" w:rsidRPr="00E20221" w:rsidRDefault="006435BA" w:rsidP="006435B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221">
        <w:rPr>
          <w:rFonts w:ascii="Times New Roman" w:eastAsia="Times New Roman" w:hAnsi="Times New Roman" w:cs="Times New Roman"/>
          <w:sz w:val="24"/>
          <w:szCs w:val="24"/>
        </w:rPr>
        <w:t>Family education</w:t>
      </w:r>
      <w:r w:rsidRPr="00E20221">
        <w:rPr>
          <w:rFonts w:ascii="Times New Roman" w:hAnsi="Times New Roman" w:cs="Times New Roman"/>
          <w:sz w:val="24"/>
          <w:szCs w:val="24"/>
        </w:rPr>
        <w:t xml:space="preserve"> and engagement</w:t>
      </w:r>
    </w:p>
    <w:p w14:paraId="6E0B3058" w14:textId="77777777" w:rsidR="009B2487" w:rsidRPr="009B2487" w:rsidRDefault="00E20221" w:rsidP="008252B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B2487">
        <w:rPr>
          <w:rFonts w:ascii="Times New Roman" w:hAnsi="Times New Roman" w:cs="Times New Roman"/>
          <w:i/>
          <w:sz w:val="24"/>
          <w:szCs w:val="24"/>
        </w:rPr>
        <w:t xml:space="preserve">Understanding what resources there are in your state relative to available funding and services from Vocational Rehabilitation and developmental disabilities agencies while a student is still in school and after graduation are essential to ensure a seamless hand off from education to adult agency support. </w:t>
      </w:r>
    </w:p>
    <w:p w14:paraId="3E4AA03F" w14:textId="77777777" w:rsidR="000E2317" w:rsidRPr="009B2487" w:rsidRDefault="009B2487" w:rsidP="008252B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B2487">
        <w:rPr>
          <w:rFonts w:ascii="Times New Roman" w:hAnsi="Times New Roman" w:cs="Times New Roman"/>
          <w:i/>
          <w:sz w:val="24"/>
          <w:szCs w:val="24"/>
        </w:rPr>
        <w:t>Understanding recent legislation</w:t>
      </w:r>
      <w:r w:rsidR="008252B6" w:rsidRPr="009B2487">
        <w:rPr>
          <w:rFonts w:ascii="Times New Roman" w:hAnsi="Times New Roman" w:cs="Times New Roman"/>
          <w:i/>
          <w:sz w:val="24"/>
          <w:szCs w:val="24"/>
        </w:rPr>
        <w:t xml:space="preserve"> focused on supporting employment services</w:t>
      </w:r>
      <w:r w:rsidRPr="009B2487">
        <w:rPr>
          <w:rFonts w:ascii="Times New Roman" w:hAnsi="Times New Roman" w:cs="Times New Roman"/>
          <w:i/>
          <w:sz w:val="24"/>
          <w:szCs w:val="24"/>
        </w:rPr>
        <w:t xml:space="preserve"> for youth with disabilities that</w:t>
      </w:r>
      <w:r w:rsidR="008252B6" w:rsidRPr="009B2487">
        <w:rPr>
          <w:rFonts w:ascii="Times New Roman" w:hAnsi="Times New Roman" w:cs="Times New Roman"/>
          <w:i/>
          <w:sz w:val="24"/>
          <w:szCs w:val="24"/>
        </w:rPr>
        <w:t xml:space="preserve"> gives the DB networ</w:t>
      </w:r>
      <w:r w:rsidRPr="009B2487">
        <w:rPr>
          <w:rFonts w:ascii="Times New Roman" w:hAnsi="Times New Roman" w:cs="Times New Roman"/>
          <w:i/>
          <w:sz w:val="24"/>
          <w:szCs w:val="24"/>
        </w:rPr>
        <w:t>k an opportunity to infiltrate</w:t>
      </w:r>
      <w:r w:rsidR="008252B6" w:rsidRPr="009B2487">
        <w:rPr>
          <w:rFonts w:ascii="Times New Roman" w:hAnsi="Times New Roman" w:cs="Times New Roman"/>
          <w:i/>
          <w:sz w:val="24"/>
          <w:szCs w:val="24"/>
        </w:rPr>
        <w:t xml:space="preserve"> state systems to influence the types of young adults who are served. Knowing </w:t>
      </w:r>
      <w:r w:rsidRPr="009B2487">
        <w:rPr>
          <w:rFonts w:ascii="Times New Roman" w:hAnsi="Times New Roman" w:cs="Times New Roman"/>
          <w:i/>
          <w:sz w:val="24"/>
          <w:szCs w:val="24"/>
        </w:rPr>
        <w:t xml:space="preserve">how this recent legislation </w:t>
      </w:r>
      <w:r w:rsidR="008252B6" w:rsidRPr="009B2487">
        <w:rPr>
          <w:rFonts w:ascii="Times New Roman" w:hAnsi="Times New Roman" w:cs="Times New Roman"/>
          <w:i/>
          <w:sz w:val="24"/>
          <w:szCs w:val="24"/>
        </w:rPr>
        <w:t xml:space="preserve">impacts funding for short and long term supports </w:t>
      </w:r>
      <w:r w:rsidRPr="009B2487">
        <w:rPr>
          <w:rFonts w:ascii="Times New Roman" w:hAnsi="Times New Roman" w:cs="Times New Roman"/>
          <w:i/>
          <w:sz w:val="24"/>
          <w:szCs w:val="24"/>
        </w:rPr>
        <w:t>(VR</w:t>
      </w:r>
      <w:r w:rsidR="008252B6" w:rsidRPr="009B2487">
        <w:rPr>
          <w:rFonts w:ascii="Times New Roman" w:hAnsi="Times New Roman" w:cs="Times New Roman"/>
          <w:i/>
          <w:sz w:val="24"/>
          <w:szCs w:val="24"/>
        </w:rPr>
        <w:t xml:space="preserve"> &amp; DD services)</w:t>
      </w:r>
    </w:p>
    <w:p w14:paraId="4FF26987" w14:textId="77777777" w:rsidR="006435BA" w:rsidRDefault="006435BA" w:rsidP="0064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3550" w14:textId="37FE5BBA" w:rsidR="009B2487" w:rsidRPr="004143DD" w:rsidRDefault="009B2487" w:rsidP="0064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DD">
        <w:rPr>
          <w:rFonts w:ascii="Times New Roman" w:hAnsi="Times New Roman" w:cs="Times New Roman"/>
          <w:sz w:val="24"/>
          <w:szCs w:val="24"/>
        </w:rPr>
        <w:t>Links we shared</w:t>
      </w:r>
      <w:r w:rsidR="00AC1B72">
        <w:rPr>
          <w:rFonts w:ascii="Times New Roman" w:hAnsi="Times New Roman" w:cs="Times New Roman"/>
          <w:sz w:val="24"/>
          <w:szCs w:val="24"/>
        </w:rPr>
        <w:t>:</w:t>
      </w:r>
    </w:p>
    <w:p w14:paraId="72550CA9" w14:textId="77777777" w:rsidR="009B2487" w:rsidRPr="004143DD" w:rsidRDefault="009B2487" w:rsidP="00643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617907" w14:textId="6A542EFA" w:rsidR="00AC1B72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6" w:history="1"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RSA power point on WIOA</w:t>
        </w:r>
      </w:hyperlink>
      <w:r w:rsidR="006435BA" w:rsidRPr="00AC1B7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14:paraId="2C91948E" w14:textId="5E0CB097" w:rsidR="00AC1B72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7" w:history="1"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WINTAC Website</w:t>
        </w:r>
      </w:hyperlink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14:paraId="6DD6C4B3" w14:textId="3CCD7A70" w:rsidR="00AC1B72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8" w:history="1"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Overview of Pre-ETS</w:t>
        </w:r>
      </w:hyperlink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14:paraId="57122261" w14:textId="6F39B8B6" w:rsidR="00AC1B72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9" w:history="1"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WINTAC map of Pre-ETS TA</w:t>
        </w:r>
      </w:hyperlink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14:paraId="5C51DA43" w14:textId="08A37D00" w:rsidR="00AC1B72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0" w:history="1"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Overview of section 511</w:t>
        </w:r>
      </w:hyperlink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14:paraId="26F07BD0" w14:textId="298B8C5D" w:rsidR="00AC1B72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1" w:history="1">
        <w:r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</w:t>
        </w:r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hite paper on Employment First</w:t>
        </w:r>
      </w:hyperlink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p w14:paraId="2860D0A6" w14:textId="0394758B" w:rsidR="00521135" w:rsidRPr="00AC1B72" w:rsidRDefault="00AC1B72" w:rsidP="00AC1B72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12" w:history="1">
        <w:r w:rsidR="006435BA" w:rsidRPr="00AC1B7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Final Settings Rules CMS</w:t>
        </w:r>
      </w:hyperlink>
      <w:r w:rsidR="006435BA" w:rsidRPr="00AC1B7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C1B72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</w:p>
    <w:sectPr w:rsidR="00521135" w:rsidRPr="00AC1B72" w:rsidSect="0041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BAC"/>
    <w:multiLevelType w:val="multilevel"/>
    <w:tmpl w:val="B19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948C5"/>
    <w:multiLevelType w:val="multilevel"/>
    <w:tmpl w:val="093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E66E8"/>
    <w:multiLevelType w:val="hybridMultilevel"/>
    <w:tmpl w:val="5E4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65A2"/>
    <w:multiLevelType w:val="multilevel"/>
    <w:tmpl w:val="8EE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BA"/>
    <w:rsid w:val="000E2317"/>
    <w:rsid w:val="00215F65"/>
    <w:rsid w:val="004143DD"/>
    <w:rsid w:val="00521135"/>
    <w:rsid w:val="006435BA"/>
    <w:rsid w:val="008252B6"/>
    <w:rsid w:val="009B2487"/>
    <w:rsid w:val="00AC1B72"/>
    <w:rsid w:val="00E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91F0"/>
  <w15:chartTrackingRefBased/>
  <w15:docId w15:val="{F12F55A7-46D3-4403-9B28-0484DEB1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0221"/>
    <w:rPr>
      <w:i/>
      <w:iCs/>
    </w:rPr>
  </w:style>
  <w:style w:type="character" w:styleId="Hyperlink">
    <w:name w:val="Hyperlink"/>
    <w:basedOn w:val="DefaultParagraphFont"/>
    <w:uiPriority w:val="99"/>
    <w:unhideWhenUsed/>
    <w:rsid w:val="0041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B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0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ADD"/>
                    <w:bottom w:val="single" w:sz="6" w:space="0" w:color="D9DADD"/>
                    <w:right w:val="single" w:sz="6" w:space="0" w:color="D9DADD"/>
                  </w:divBdr>
                  <w:divsChild>
                    <w:div w:id="7658819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ac.org/topic-areas/pre-employment-transition-serv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ntac.org/topic-areas/implementation-of-requirements" TargetMode="External"/><Relationship Id="rId12" Type="http://schemas.openxmlformats.org/officeDocument/2006/relationships/hyperlink" Target="http://www.aucd.org/docs/policy/HCBS/references/requirements-for-home-and-community-setting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ed.gov/about/offices/list/osers/rsa/wioa/transition-of-students-and-youth-with-disabilities-from-school-to-postsecondary-education-and-employment.pdf" TargetMode="External"/><Relationship Id="rId11" Type="http://schemas.openxmlformats.org/officeDocument/2006/relationships/hyperlink" Target="https://www.apse.org/wp-content/uploads/2014/04/APSE-Employment-First-White-Pape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tac.org/topic-areas/implementation-of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tac-s3.s3-us-west-2.amazonaws.com/topic-areas/ta_PreETS/Revised.4.2.18.WINTAC.TA.Map_C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BCE-6084-2D40-9131-1BDC54DF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CABANA GIRLS</dc:creator>
  <cp:keywords/>
  <dc:description/>
  <cp:lastModifiedBy>Microsoft Office User</cp:lastModifiedBy>
  <cp:revision>3</cp:revision>
  <dcterms:created xsi:type="dcterms:W3CDTF">2019-01-16T19:26:00Z</dcterms:created>
  <dcterms:modified xsi:type="dcterms:W3CDTF">2019-01-16T19:30:00Z</dcterms:modified>
</cp:coreProperties>
</file>